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C23B" w14:textId="77777777" w:rsidR="004B476E" w:rsidRDefault="004B476E" w:rsidP="004B476E">
      <w:pPr>
        <w:spacing w:after="0"/>
        <w:ind w:left="-900"/>
        <w:rPr>
          <w:rFonts w:ascii="Arial" w:hAnsi="Arial" w:cs="Arial"/>
          <w:sz w:val="20"/>
          <w:szCs w:val="20"/>
        </w:rPr>
      </w:pPr>
      <w:r>
        <w:rPr>
          <w:rFonts w:ascii="Arial" w:hAnsi="Arial" w:cs="Arial"/>
          <w:sz w:val="20"/>
          <w:szCs w:val="20"/>
        </w:rPr>
        <w:t xml:space="preserve">   </w:t>
      </w:r>
    </w:p>
    <w:p w14:paraId="13ED3B63" w14:textId="1E036610" w:rsidR="004B476E" w:rsidRDefault="00F436FB" w:rsidP="00F35DFF">
      <w:pPr>
        <w:tabs>
          <w:tab w:val="left" w:pos="795"/>
        </w:tabs>
        <w:spacing w:after="0"/>
        <w:ind w:left="-900"/>
        <w:rPr>
          <w:rFonts w:ascii="Arial" w:hAnsi="Arial" w:cs="Arial"/>
          <w:sz w:val="20"/>
          <w:szCs w:val="20"/>
        </w:rPr>
      </w:pPr>
      <w:r>
        <w:rPr>
          <w:rFonts w:ascii="Arial" w:hAnsi="Arial" w:cs="Arial"/>
          <w:sz w:val="20"/>
          <w:szCs w:val="20"/>
        </w:rPr>
        <w:tab/>
      </w:r>
      <w:r w:rsidRPr="00F436FB">
        <w:rPr>
          <w:rFonts w:ascii="Arial" w:hAnsi="Arial" w:cs="Arial"/>
          <w:sz w:val="20"/>
          <w:szCs w:val="20"/>
          <w:highlight w:val="yellow"/>
        </w:rPr>
        <w:t>INSERT LOGO/LETTERHEAD</w:t>
      </w:r>
    </w:p>
    <w:p w14:paraId="0F0BF24D" w14:textId="77777777" w:rsidR="004B476E" w:rsidRDefault="004B476E" w:rsidP="004B476E">
      <w:pPr>
        <w:spacing w:after="0"/>
        <w:ind w:left="-900"/>
        <w:rPr>
          <w:rFonts w:ascii="Arial" w:hAnsi="Arial" w:cs="Arial"/>
          <w:sz w:val="20"/>
          <w:szCs w:val="20"/>
        </w:rPr>
      </w:pPr>
    </w:p>
    <w:p w14:paraId="585B2354" w14:textId="77777777" w:rsidR="004B476E" w:rsidRDefault="004B476E" w:rsidP="004B476E">
      <w:pPr>
        <w:spacing w:after="0"/>
        <w:ind w:left="-900"/>
        <w:rPr>
          <w:rFonts w:ascii="Arial" w:hAnsi="Arial" w:cs="Arial"/>
          <w:sz w:val="20"/>
          <w:szCs w:val="20"/>
        </w:rPr>
      </w:pPr>
    </w:p>
    <w:p w14:paraId="3B671F90" w14:textId="77777777" w:rsidR="004B476E" w:rsidRDefault="004B476E" w:rsidP="004B476E">
      <w:pPr>
        <w:spacing w:after="0"/>
        <w:ind w:left="-900"/>
        <w:rPr>
          <w:rFonts w:ascii="Arial" w:hAnsi="Arial" w:cs="Arial"/>
          <w:sz w:val="20"/>
          <w:szCs w:val="20"/>
        </w:rPr>
      </w:pPr>
    </w:p>
    <w:p w14:paraId="7E32AD2D" w14:textId="77777777" w:rsidR="004B476E" w:rsidRDefault="004B476E" w:rsidP="004B476E">
      <w:pPr>
        <w:spacing w:after="0"/>
        <w:ind w:left="-900"/>
        <w:rPr>
          <w:rFonts w:ascii="Arial" w:hAnsi="Arial" w:cs="Arial"/>
          <w:sz w:val="20"/>
          <w:szCs w:val="20"/>
        </w:rPr>
      </w:pPr>
    </w:p>
    <w:p w14:paraId="753D6007" w14:textId="77777777" w:rsidR="00997588" w:rsidRDefault="00997588" w:rsidP="00622200">
      <w:pPr>
        <w:jc w:val="both"/>
        <w:rPr>
          <w:b/>
          <w:sz w:val="28"/>
          <w:szCs w:val="28"/>
        </w:rPr>
      </w:pPr>
    </w:p>
    <w:p w14:paraId="48E0CE55" w14:textId="5FCE7A5F" w:rsidR="00622200" w:rsidRPr="008E64C6" w:rsidRDefault="00622200" w:rsidP="006953BA">
      <w:pPr>
        <w:jc w:val="center"/>
        <w:rPr>
          <w:b/>
          <w:sz w:val="28"/>
          <w:szCs w:val="28"/>
        </w:rPr>
      </w:pPr>
      <w:r>
        <w:rPr>
          <w:b/>
          <w:sz w:val="28"/>
          <w:szCs w:val="28"/>
        </w:rPr>
        <w:t xml:space="preserve">Statement </w:t>
      </w:r>
      <w:r w:rsidRPr="008E64C6">
        <w:rPr>
          <w:b/>
          <w:sz w:val="28"/>
          <w:szCs w:val="28"/>
        </w:rPr>
        <w:t xml:space="preserve">of Endorsement for </w:t>
      </w:r>
      <w:r w:rsidR="00BD2E56">
        <w:rPr>
          <w:b/>
          <w:sz w:val="28"/>
          <w:szCs w:val="28"/>
        </w:rPr>
        <w:t>H.R. 1587 / S.1731</w:t>
      </w:r>
      <w:r w:rsidR="00DE13FE">
        <w:rPr>
          <w:b/>
          <w:sz w:val="28"/>
          <w:szCs w:val="28"/>
        </w:rPr>
        <w:t xml:space="preserve">, </w:t>
      </w:r>
      <w:r w:rsidRPr="008E64C6">
        <w:rPr>
          <w:b/>
          <w:sz w:val="28"/>
          <w:szCs w:val="28"/>
        </w:rPr>
        <w:t xml:space="preserve">the </w:t>
      </w:r>
      <w:r w:rsidR="00196532">
        <w:rPr>
          <w:b/>
          <w:sz w:val="28"/>
          <w:szCs w:val="28"/>
        </w:rPr>
        <w:t xml:space="preserve">Medicare </w:t>
      </w:r>
      <w:r w:rsidR="006953BA">
        <w:rPr>
          <w:b/>
          <w:sz w:val="28"/>
          <w:szCs w:val="28"/>
        </w:rPr>
        <w:br/>
      </w:r>
      <w:r w:rsidR="00196532">
        <w:rPr>
          <w:b/>
          <w:sz w:val="28"/>
          <w:szCs w:val="28"/>
        </w:rPr>
        <w:t>Audiologist Access and Services</w:t>
      </w:r>
      <w:r w:rsidR="007F4EF2">
        <w:rPr>
          <w:b/>
          <w:sz w:val="28"/>
          <w:szCs w:val="28"/>
        </w:rPr>
        <w:t xml:space="preserve"> Act</w:t>
      </w:r>
      <w:r w:rsidR="006953BA">
        <w:rPr>
          <w:b/>
          <w:sz w:val="28"/>
          <w:szCs w:val="28"/>
        </w:rPr>
        <w:t xml:space="preserve"> </w:t>
      </w:r>
      <w:r w:rsidR="00DE13FE">
        <w:rPr>
          <w:b/>
          <w:sz w:val="28"/>
          <w:szCs w:val="28"/>
        </w:rPr>
        <w:t>of 2021</w:t>
      </w:r>
    </w:p>
    <w:p w14:paraId="73585C28" w14:textId="77777777" w:rsidR="00622200" w:rsidRPr="008E64C6" w:rsidRDefault="00622200" w:rsidP="00622200">
      <w:pPr>
        <w:spacing w:after="0"/>
        <w:jc w:val="both"/>
      </w:pPr>
    </w:p>
    <w:p w14:paraId="1FD45D19" w14:textId="704FD498" w:rsidR="00622200" w:rsidRPr="00F436FB" w:rsidRDefault="00622200" w:rsidP="007F4EF2">
      <w:pPr>
        <w:spacing w:after="0" w:line="276" w:lineRule="auto"/>
        <w:jc w:val="both"/>
        <w:rPr>
          <w:rFonts w:asciiTheme="majorHAnsi" w:hAnsiTheme="majorHAnsi"/>
        </w:rPr>
      </w:pPr>
      <w:r w:rsidRPr="00F436FB">
        <w:rPr>
          <w:rFonts w:asciiTheme="majorHAnsi" w:hAnsiTheme="majorHAnsi"/>
        </w:rPr>
        <w:t xml:space="preserve">The </w:t>
      </w:r>
      <w:r w:rsidR="00F436FB" w:rsidRPr="00F436FB">
        <w:rPr>
          <w:rFonts w:asciiTheme="majorHAnsi" w:hAnsiTheme="majorHAnsi"/>
          <w:highlight w:val="yellow"/>
        </w:rPr>
        <w:t>INSERT NAME OF ORGANIZATION</w:t>
      </w:r>
      <w:r w:rsidRPr="00F436FB">
        <w:rPr>
          <w:rFonts w:asciiTheme="majorHAnsi" w:hAnsiTheme="majorHAnsi"/>
        </w:rPr>
        <w:t xml:space="preserve"> submits this stateme</w:t>
      </w:r>
      <w:r w:rsidR="007F4EF2">
        <w:rPr>
          <w:rFonts w:asciiTheme="majorHAnsi" w:hAnsiTheme="majorHAnsi"/>
        </w:rPr>
        <w:t>nt of strong endorsement for</w:t>
      </w:r>
      <w:r w:rsidR="00DE13FE">
        <w:rPr>
          <w:rFonts w:asciiTheme="majorHAnsi" w:hAnsiTheme="majorHAnsi"/>
        </w:rPr>
        <w:t xml:space="preserve"> </w:t>
      </w:r>
      <w:r w:rsidR="00BD2E56">
        <w:rPr>
          <w:rFonts w:asciiTheme="majorHAnsi" w:hAnsiTheme="majorHAnsi"/>
        </w:rPr>
        <w:t>H.R. 1587 / S.1731</w:t>
      </w:r>
      <w:r w:rsidR="007F4EF2">
        <w:rPr>
          <w:rFonts w:asciiTheme="majorHAnsi" w:hAnsiTheme="majorHAnsi"/>
        </w:rPr>
        <w:t xml:space="preserve"> </w:t>
      </w:r>
      <w:r w:rsidRPr="00F436FB">
        <w:rPr>
          <w:rFonts w:asciiTheme="majorHAnsi" w:hAnsiTheme="majorHAnsi"/>
        </w:rPr>
        <w:t>The</w:t>
      </w:r>
      <w:r w:rsidR="00196532">
        <w:rPr>
          <w:rFonts w:asciiTheme="majorHAnsi" w:hAnsiTheme="majorHAnsi"/>
        </w:rPr>
        <w:t xml:space="preserve"> Medicare Audiologist Access and Services</w:t>
      </w:r>
      <w:r w:rsidR="007F4EF2">
        <w:rPr>
          <w:rFonts w:asciiTheme="majorHAnsi" w:hAnsiTheme="majorHAnsi"/>
        </w:rPr>
        <w:t xml:space="preserve"> Act</w:t>
      </w:r>
      <w:r w:rsidR="00DE13FE">
        <w:rPr>
          <w:rFonts w:asciiTheme="majorHAnsi" w:hAnsiTheme="majorHAnsi"/>
        </w:rPr>
        <w:t xml:space="preserve"> of 2021</w:t>
      </w:r>
      <w:r w:rsidRPr="00F436FB">
        <w:rPr>
          <w:rFonts w:asciiTheme="majorHAnsi" w:hAnsiTheme="majorHAnsi"/>
        </w:rPr>
        <w:t>:</w:t>
      </w:r>
    </w:p>
    <w:p w14:paraId="31045795" w14:textId="77777777" w:rsidR="00622200" w:rsidRPr="00F436FB" w:rsidRDefault="00622200" w:rsidP="00F436FB">
      <w:pPr>
        <w:spacing w:after="0" w:line="276" w:lineRule="auto"/>
        <w:jc w:val="both"/>
        <w:rPr>
          <w:rFonts w:asciiTheme="majorHAnsi" w:hAnsiTheme="majorHAnsi"/>
        </w:rPr>
      </w:pPr>
    </w:p>
    <w:p w14:paraId="0EA0BE42" w14:textId="64672190" w:rsidR="00622200" w:rsidRPr="00F436FB" w:rsidRDefault="00622200" w:rsidP="00F436FB">
      <w:pPr>
        <w:autoSpaceDE w:val="0"/>
        <w:autoSpaceDN w:val="0"/>
        <w:adjustRightInd w:val="0"/>
        <w:spacing w:after="0" w:line="276" w:lineRule="auto"/>
        <w:jc w:val="both"/>
        <w:rPr>
          <w:rFonts w:asciiTheme="majorHAnsi" w:hAnsiTheme="majorHAnsi" w:cs="DeVinne"/>
          <w:i/>
          <w:color w:val="0070C0"/>
        </w:rPr>
      </w:pPr>
      <w:r w:rsidRPr="00F436FB">
        <w:rPr>
          <w:rFonts w:asciiTheme="majorHAnsi" w:hAnsiTheme="majorHAnsi" w:cs="DeVinne"/>
          <w:i/>
          <w:color w:val="0070C0"/>
        </w:rPr>
        <w:t>“To amend title XVIII of the Social Security Act to provide for treatment of audiologists as p</w:t>
      </w:r>
      <w:r w:rsidR="00196532">
        <w:rPr>
          <w:rFonts w:asciiTheme="majorHAnsi" w:hAnsiTheme="majorHAnsi" w:cs="DeVinne"/>
          <w:i/>
          <w:color w:val="0070C0"/>
        </w:rPr>
        <w:t>ractitioners</w:t>
      </w:r>
      <w:r w:rsidRPr="00F436FB">
        <w:rPr>
          <w:rFonts w:asciiTheme="majorHAnsi" w:hAnsiTheme="majorHAnsi" w:cs="DeVinne"/>
          <w:i/>
          <w:color w:val="0070C0"/>
        </w:rPr>
        <w:t xml:space="preserve"> for purposes of furnishing audiology services under the Medicare program, to improve access to the audiology services available for coverage under the Medicare program and to enable beneficiaries to have their choice of a qualified audiologist to provide such services, and for other purposes.”</w:t>
      </w:r>
    </w:p>
    <w:p w14:paraId="47AF9642" w14:textId="77777777" w:rsidR="00622200" w:rsidRPr="00F436FB" w:rsidRDefault="00622200" w:rsidP="00F436FB">
      <w:pPr>
        <w:spacing w:after="0" w:line="276" w:lineRule="auto"/>
        <w:jc w:val="both"/>
        <w:rPr>
          <w:rFonts w:asciiTheme="majorHAnsi" w:hAnsiTheme="majorHAnsi"/>
        </w:rPr>
      </w:pPr>
    </w:p>
    <w:p w14:paraId="3624493B" w14:textId="77777777" w:rsidR="00622200" w:rsidRPr="00F436FB" w:rsidRDefault="00622200" w:rsidP="00F436FB">
      <w:pPr>
        <w:spacing w:line="276" w:lineRule="auto"/>
        <w:jc w:val="both"/>
        <w:rPr>
          <w:rFonts w:asciiTheme="majorHAnsi" w:hAnsiTheme="majorHAnsi" w:cs="Times New Roman"/>
        </w:rPr>
      </w:pPr>
      <w:r w:rsidRPr="00F436FB">
        <w:rPr>
          <w:rFonts w:asciiTheme="majorHAnsi" w:hAnsiTheme="majorHAnsi" w:cs="Times New Roman"/>
          <w:highlight w:val="yellow"/>
        </w:rPr>
        <w:t>Insert Date:</w:t>
      </w:r>
    </w:p>
    <w:p w14:paraId="291A1B73" w14:textId="0F876F31" w:rsidR="00622200" w:rsidRPr="00F436FB" w:rsidRDefault="00196532" w:rsidP="00F436FB">
      <w:pPr>
        <w:spacing w:line="276" w:lineRule="auto"/>
        <w:jc w:val="both"/>
        <w:rPr>
          <w:rFonts w:asciiTheme="majorHAnsi" w:hAnsiTheme="majorHAnsi" w:cs="Times New Roman"/>
        </w:rPr>
      </w:pPr>
      <w:r w:rsidRPr="00F436FB">
        <w:rPr>
          <w:rFonts w:asciiTheme="majorHAnsi" w:hAnsiTheme="majorHAnsi"/>
        </w:rPr>
        <w:t>The</w:t>
      </w:r>
      <w:r>
        <w:rPr>
          <w:rFonts w:asciiTheme="majorHAnsi" w:hAnsiTheme="majorHAnsi"/>
        </w:rPr>
        <w:t xml:space="preserve"> Medicare Audiologist Access and Services Act</w:t>
      </w:r>
      <w:r w:rsidR="006D56D1">
        <w:rPr>
          <w:rFonts w:asciiTheme="majorHAnsi" w:hAnsiTheme="majorHAnsi"/>
        </w:rPr>
        <w:t xml:space="preserve"> of 2021, </w:t>
      </w:r>
      <w:r w:rsidR="00BD2E56">
        <w:rPr>
          <w:rFonts w:asciiTheme="majorHAnsi" w:hAnsiTheme="majorHAnsi"/>
        </w:rPr>
        <w:t>H.R. 1587 / S.1731</w:t>
      </w:r>
      <w:r w:rsidR="006D56D1">
        <w:rPr>
          <w:rFonts w:asciiTheme="majorHAnsi" w:hAnsiTheme="majorHAnsi"/>
        </w:rPr>
        <w:t>,</w:t>
      </w:r>
      <w:r w:rsidRPr="00F436FB">
        <w:rPr>
          <w:rFonts w:asciiTheme="majorHAnsi" w:hAnsiTheme="majorHAnsi" w:cs="Times New Roman"/>
        </w:rPr>
        <w:t xml:space="preserve"> </w:t>
      </w:r>
      <w:r w:rsidR="00622200" w:rsidRPr="00F436FB">
        <w:rPr>
          <w:rFonts w:asciiTheme="majorHAnsi" w:hAnsiTheme="majorHAnsi" w:cs="Times New Roman"/>
        </w:rPr>
        <w:t xml:space="preserve">will bring about a much-needed modernization in the way audiology services are made available to Medicare beneficiaries.  It is a </w:t>
      </w:r>
      <w:r w:rsidR="00F436FB" w:rsidRPr="00F436FB">
        <w:rPr>
          <w:rFonts w:asciiTheme="majorHAnsi" w:hAnsiTheme="majorHAnsi" w:cs="Times New Roman"/>
        </w:rPr>
        <w:t>bi</w:t>
      </w:r>
      <w:r w:rsidR="00622200" w:rsidRPr="00F436FB">
        <w:rPr>
          <w:rFonts w:asciiTheme="majorHAnsi" w:hAnsiTheme="majorHAnsi" w:cs="Times New Roman"/>
        </w:rPr>
        <w:t>-partisan piece of legislation that we hope will have the enthusiastic support of every member of Congress.</w:t>
      </w:r>
    </w:p>
    <w:p w14:paraId="699BDB66" w14:textId="77777777" w:rsidR="00622200" w:rsidRPr="00F436FB" w:rsidRDefault="00622200" w:rsidP="00F436FB">
      <w:pPr>
        <w:spacing w:line="276" w:lineRule="auto"/>
        <w:jc w:val="both"/>
        <w:rPr>
          <w:rFonts w:asciiTheme="majorHAnsi" w:hAnsiTheme="majorHAnsi" w:cs="Times New Roman"/>
        </w:rPr>
      </w:pPr>
      <w:r w:rsidRPr="00F436FB">
        <w:rPr>
          <w:rFonts w:asciiTheme="majorHAnsi" w:hAnsiTheme="majorHAnsi" w:cs="Times New Roman"/>
        </w:rPr>
        <w:t xml:space="preserve">Medicare has not kept pace with changes in health care delivery models for diagnosing and treating hearing and balance disorders.  Thus, patient access to care and choice of provider is detrimentally limited, and the treatment process inefficient.  </w:t>
      </w:r>
    </w:p>
    <w:p w14:paraId="1B3CC2FB" w14:textId="2311FB5D" w:rsidR="00622200" w:rsidRPr="00F436FB" w:rsidRDefault="00622200" w:rsidP="00F436FB">
      <w:pPr>
        <w:spacing w:after="0" w:line="276" w:lineRule="auto"/>
        <w:jc w:val="both"/>
        <w:rPr>
          <w:rFonts w:asciiTheme="majorHAnsi" w:hAnsiTheme="majorHAnsi" w:cs="Calibri"/>
          <w:color w:val="000000"/>
        </w:rPr>
      </w:pPr>
      <w:r w:rsidRPr="00F436FB">
        <w:rPr>
          <w:rFonts w:asciiTheme="majorHAnsi" w:hAnsiTheme="majorHAnsi" w:cs="Calibri"/>
          <w:color w:val="000000"/>
        </w:rPr>
        <w:t xml:space="preserve">Members of </w:t>
      </w:r>
      <w:r w:rsidR="00F436FB" w:rsidRPr="00F436FB">
        <w:rPr>
          <w:rFonts w:asciiTheme="majorHAnsi" w:hAnsiTheme="majorHAnsi" w:cs="Calibri"/>
          <w:color w:val="000000"/>
          <w:highlight w:val="yellow"/>
        </w:rPr>
        <w:t>INSERT NAME OF ORGANIZATION</w:t>
      </w:r>
      <w:r w:rsidRPr="00F436FB">
        <w:rPr>
          <w:rFonts w:asciiTheme="majorHAnsi" w:hAnsiTheme="majorHAnsi" w:cs="Calibri"/>
          <w:color w:val="000000"/>
        </w:rPr>
        <w:t xml:space="preserve"> </w:t>
      </w:r>
      <w:r w:rsidR="00F436FB" w:rsidRPr="00F436FB">
        <w:rPr>
          <w:rFonts w:asciiTheme="majorHAnsi" w:hAnsiTheme="majorHAnsi" w:cs="Calibri"/>
          <w:color w:val="000000"/>
        </w:rPr>
        <w:t xml:space="preserve">frequently treat older Americans and we </w:t>
      </w:r>
      <w:r w:rsidRPr="00F436FB">
        <w:rPr>
          <w:rFonts w:asciiTheme="majorHAnsi" w:hAnsiTheme="majorHAnsi" w:cs="Calibri"/>
          <w:color w:val="000000"/>
        </w:rPr>
        <w:t>have witnessed, first-hand, the negative social and economic effects that result from untreated hearing and balance disorders, including social isolation, depression, cognitive decline, physical injury and the loss of independence</w:t>
      </w:r>
      <w:r w:rsidRPr="00F436FB">
        <w:rPr>
          <w:rStyle w:val="FootnoteReference"/>
          <w:rFonts w:asciiTheme="majorHAnsi" w:hAnsiTheme="majorHAnsi" w:cs="Calibri"/>
          <w:color w:val="000000"/>
        </w:rPr>
        <w:footnoteReference w:id="1"/>
      </w:r>
      <w:r w:rsidRPr="00F436FB">
        <w:rPr>
          <w:rFonts w:asciiTheme="majorHAnsi" w:hAnsiTheme="majorHAnsi" w:cs="Calibri"/>
          <w:color w:val="000000"/>
        </w:rPr>
        <w:t>.</w:t>
      </w:r>
    </w:p>
    <w:p w14:paraId="0510D262" w14:textId="77777777" w:rsidR="00622200" w:rsidRPr="00F436FB" w:rsidRDefault="00622200" w:rsidP="00F436FB">
      <w:pPr>
        <w:spacing w:after="0" w:line="276" w:lineRule="auto"/>
        <w:jc w:val="both"/>
        <w:rPr>
          <w:rFonts w:asciiTheme="majorHAnsi" w:hAnsiTheme="majorHAnsi" w:cs="Calibri"/>
          <w:color w:val="000000"/>
        </w:rPr>
      </w:pPr>
    </w:p>
    <w:p w14:paraId="716399BE" w14:textId="0F396E59" w:rsidR="00622200" w:rsidRPr="00F436FB" w:rsidRDefault="00196532" w:rsidP="00F436FB">
      <w:pPr>
        <w:spacing w:line="276" w:lineRule="auto"/>
        <w:jc w:val="both"/>
        <w:rPr>
          <w:rFonts w:asciiTheme="majorHAnsi" w:hAnsiTheme="majorHAnsi" w:cs="Times New Roman"/>
        </w:rPr>
      </w:pPr>
      <w:r w:rsidRPr="00196532">
        <w:rPr>
          <w:rFonts w:asciiTheme="majorHAnsi" w:hAnsiTheme="majorHAnsi" w:cs="Times New Roman"/>
        </w:rPr>
        <w:t>The Medicare Audiologist Access and Services Act</w:t>
      </w:r>
      <w:r w:rsidR="006D56D1">
        <w:rPr>
          <w:rFonts w:asciiTheme="majorHAnsi" w:hAnsiTheme="majorHAnsi" w:cs="Times New Roman"/>
        </w:rPr>
        <w:t xml:space="preserve"> of 2021</w:t>
      </w:r>
      <w:r w:rsidRPr="00196532">
        <w:rPr>
          <w:rFonts w:asciiTheme="majorHAnsi" w:hAnsiTheme="majorHAnsi" w:cs="Times New Roman"/>
        </w:rPr>
        <w:t xml:space="preserve"> </w:t>
      </w:r>
      <w:r w:rsidR="00622200" w:rsidRPr="00F436FB">
        <w:rPr>
          <w:rFonts w:asciiTheme="majorHAnsi" w:hAnsiTheme="majorHAnsi" w:cs="Times New Roman"/>
        </w:rPr>
        <w:t xml:space="preserve">will remedy current shortcomings and </w:t>
      </w:r>
      <w:r w:rsidR="00622200" w:rsidRPr="00F436FB">
        <w:rPr>
          <w:rFonts w:asciiTheme="majorHAnsi" w:hAnsiTheme="majorHAnsi"/>
        </w:rPr>
        <w:t>bring Medicare in line with best practices in audiolog</w:t>
      </w:r>
      <w:r w:rsidR="00F436FB" w:rsidRPr="00F436FB">
        <w:rPr>
          <w:rFonts w:asciiTheme="majorHAnsi" w:hAnsiTheme="majorHAnsi"/>
        </w:rPr>
        <w:t>y</w:t>
      </w:r>
      <w:r w:rsidR="00622200" w:rsidRPr="00F436FB">
        <w:rPr>
          <w:rFonts w:asciiTheme="majorHAnsi" w:hAnsiTheme="majorHAnsi"/>
        </w:rPr>
        <w:t xml:space="preserve"> health care delivery models, and trends in patient care and participatory medicine. </w:t>
      </w:r>
      <w:r w:rsidRPr="00F436FB">
        <w:rPr>
          <w:rFonts w:asciiTheme="majorHAnsi" w:hAnsiTheme="majorHAnsi"/>
        </w:rPr>
        <w:t>The</w:t>
      </w:r>
      <w:r>
        <w:rPr>
          <w:rFonts w:asciiTheme="majorHAnsi" w:hAnsiTheme="majorHAnsi"/>
        </w:rPr>
        <w:t xml:space="preserve"> Medicare Audiologist Access and Services Act</w:t>
      </w:r>
      <w:r w:rsidR="006D56D1">
        <w:rPr>
          <w:rFonts w:asciiTheme="majorHAnsi" w:hAnsiTheme="majorHAnsi"/>
        </w:rPr>
        <w:t xml:space="preserve"> of 2021</w:t>
      </w:r>
      <w:r w:rsidR="00622200" w:rsidRPr="00F436FB">
        <w:rPr>
          <w:rFonts w:asciiTheme="majorHAnsi" w:hAnsiTheme="majorHAnsi"/>
        </w:rPr>
        <w:t xml:space="preserve">, if enacted, will improve access to qualified, licensed Medicare providers, by allowing seniors with a suspected hearing or balance </w:t>
      </w:r>
      <w:r w:rsidR="00622200" w:rsidRPr="00F436FB">
        <w:rPr>
          <w:rFonts w:asciiTheme="majorHAnsi" w:hAnsiTheme="majorHAnsi"/>
        </w:rPr>
        <w:lastRenderedPageBreak/>
        <w:t>disorder to seek treatment directly from audiologists, eliminating archaic medical doctor referral requirements.</w:t>
      </w:r>
      <w:r w:rsidR="00622200" w:rsidRPr="00F436FB">
        <w:rPr>
          <w:rFonts w:asciiTheme="majorHAnsi" w:hAnsiTheme="majorHAnsi" w:cs="Times New Roman"/>
        </w:rPr>
        <w:t xml:space="preserve"> </w:t>
      </w:r>
    </w:p>
    <w:p w14:paraId="150E0B4E" w14:textId="58A79E52" w:rsidR="00622200" w:rsidRPr="00F436FB" w:rsidRDefault="00622200" w:rsidP="00F436FB">
      <w:pPr>
        <w:spacing w:line="276" w:lineRule="auto"/>
        <w:jc w:val="both"/>
        <w:rPr>
          <w:rFonts w:asciiTheme="majorHAnsi" w:hAnsiTheme="majorHAnsi"/>
        </w:rPr>
      </w:pPr>
      <w:r w:rsidRPr="00F436FB">
        <w:rPr>
          <w:rFonts w:asciiTheme="majorHAnsi" w:hAnsiTheme="majorHAnsi" w:cs="Times New Roman"/>
        </w:rPr>
        <w:t xml:space="preserve">Other federal programs already allow direct access to audiologists, as do many private health insurance plans. </w:t>
      </w:r>
      <w:r w:rsidRPr="00F436FB">
        <w:rPr>
          <w:rFonts w:asciiTheme="majorHAnsi" w:hAnsiTheme="majorHAnsi" w:cs="Calibri"/>
        </w:rPr>
        <w:t xml:space="preserve">Audiologists are highly trained health care professionals, specializing in the prevention, assessment and treatment of audiologic disorders. </w:t>
      </w:r>
      <w:r w:rsidR="00F436FB">
        <w:rPr>
          <w:rFonts w:asciiTheme="majorHAnsi" w:hAnsiTheme="majorHAnsi" w:cs="Calibri"/>
        </w:rPr>
        <w:t>A</w:t>
      </w:r>
      <w:r w:rsidR="00F436FB" w:rsidRPr="00F436FB">
        <w:rPr>
          <w:rFonts w:asciiTheme="majorHAnsi" w:hAnsiTheme="majorHAnsi" w:cs="Calibri"/>
        </w:rPr>
        <w:t xml:space="preserve">udiologists are </w:t>
      </w:r>
      <w:r w:rsidRPr="00F436FB">
        <w:rPr>
          <w:rFonts w:asciiTheme="majorHAnsi" w:hAnsiTheme="majorHAnsi" w:cs="Calibri"/>
        </w:rPr>
        <w:t xml:space="preserve">university‐educated and licensed to specifically identify, evaluate, diagnose, and treat hearing and balance disorders, and to identify medical‐related conditions that require a referral to a medical doctor. Today, a Doctor of Audiology (Au.D.) degree is </w:t>
      </w:r>
      <w:r w:rsidR="00F436FB" w:rsidRPr="00F436FB">
        <w:rPr>
          <w:rFonts w:asciiTheme="majorHAnsi" w:hAnsiTheme="majorHAnsi" w:cs="Calibri"/>
        </w:rPr>
        <w:t>the professional degree of entry to become a</w:t>
      </w:r>
      <w:r w:rsidRPr="00F436FB">
        <w:rPr>
          <w:rFonts w:asciiTheme="majorHAnsi" w:hAnsiTheme="majorHAnsi" w:cs="Calibri"/>
        </w:rPr>
        <w:t xml:space="preserve"> clinical audiologist. Audiologists are licensed in all 50 states.</w:t>
      </w:r>
      <w:r w:rsidRPr="00F436FB">
        <w:rPr>
          <w:rStyle w:val="FootnoteReference"/>
          <w:rFonts w:asciiTheme="majorHAnsi" w:hAnsiTheme="majorHAnsi" w:cs="Calibri"/>
        </w:rPr>
        <w:footnoteReference w:id="2"/>
      </w:r>
    </w:p>
    <w:p w14:paraId="56D47DC9" w14:textId="687D273B" w:rsidR="00622200" w:rsidRPr="00F436FB" w:rsidRDefault="00196532" w:rsidP="00F436FB">
      <w:pPr>
        <w:spacing w:line="276" w:lineRule="auto"/>
        <w:jc w:val="both"/>
        <w:rPr>
          <w:rFonts w:asciiTheme="majorHAnsi" w:hAnsiTheme="majorHAnsi"/>
        </w:rPr>
      </w:pPr>
      <w:r w:rsidRPr="00F436FB">
        <w:rPr>
          <w:rFonts w:asciiTheme="majorHAnsi" w:hAnsiTheme="majorHAnsi"/>
        </w:rPr>
        <w:t>The</w:t>
      </w:r>
      <w:r>
        <w:rPr>
          <w:rFonts w:asciiTheme="majorHAnsi" w:hAnsiTheme="majorHAnsi"/>
        </w:rPr>
        <w:t xml:space="preserve"> Medicare Audiologist Access and Services Act</w:t>
      </w:r>
      <w:r w:rsidR="006D56D1">
        <w:rPr>
          <w:rFonts w:asciiTheme="majorHAnsi" w:hAnsiTheme="majorHAnsi"/>
        </w:rPr>
        <w:t xml:space="preserve"> of 2021</w:t>
      </w:r>
      <w:r w:rsidRPr="00F436FB">
        <w:rPr>
          <w:rFonts w:asciiTheme="majorHAnsi" w:hAnsiTheme="majorHAnsi"/>
        </w:rPr>
        <w:t xml:space="preserve"> </w:t>
      </w:r>
      <w:r w:rsidR="00622200" w:rsidRPr="00F436FB">
        <w:rPr>
          <w:rFonts w:asciiTheme="majorHAnsi" w:hAnsiTheme="majorHAnsi"/>
        </w:rPr>
        <w:t>will allow patients to choose among qualified providers for Medicare-covered audiolog</w:t>
      </w:r>
      <w:r w:rsidR="00F436FB" w:rsidRPr="00F436FB">
        <w:rPr>
          <w:rFonts w:asciiTheme="majorHAnsi" w:hAnsiTheme="majorHAnsi"/>
        </w:rPr>
        <w:t>y</w:t>
      </w:r>
      <w:r w:rsidR="00622200" w:rsidRPr="00F436FB">
        <w:rPr>
          <w:rFonts w:asciiTheme="majorHAnsi" w:hAnsiTheme="majorHAnsi"/>
        </w:rPr>
        <w:t xml:space="preserve"> services, by authorizing Medicare to reimburse audiologists for the Medicare-covered services that they are licensed to provide. These services are already covered by Medicare when delivered by other providers.</w:t>
      </w:r>
    </w:p>
    <w:p w14:paraId="30EA68AE" w14:textId="7E66014E" w:rsidR="00622200" w:rsidRPr="00F436FB" w:rsidRDefault="00622200" w:rsidP="00F436FB">
      <w:pPr>
        <w:spacing w:line="276" w:lineRule="auto"/>
        <w:jc w:val="both"/>
        <w:rPr>
          <w:rFonts w:asciiTheme="majorHAnsi" w:hAnsiTheme="majorHAnsi" w:cs="Times New Roman"/>
        </w:rPr>
      </w:pPr>
      <w:r w:rsidRPr="00F436FB">
        <w:rPr>
          <w:rFonts w:asciiTheme="majorHAnsi" w:hAnsiTheme="majorHAnsi"/>
        </w:rPr>
        <w:t xml:space="preserve">In addition, this legislation will address the medical </w:t>
      </w:r>
      <w:r w:rsidR="00196532">
        <w:rPr>
          <w:rFonts w:asciiTheme="majorHAnsi" w:hAnsiTheme="majorHAnsi"/>
        </w:rPr>
        <w:t>provider</w:t>
      </w:r>
      <w:r w:rsidRPr="00F436FB">
        <w:rPr>
          <w:rFonts w:asciiTheme="majorHAnsi" w:hAnsiTheme="majorHAnsi"/>
        </w:rPr>
        <w:t xml:space="preserve"> workforce shortage confronting our country</w:t>
      </w:r>
      <w:r w:rsidRPr="00F436FB">
        <w:rPr>
          <w:rStyle w:val="FootnoteReference"/>
          <w:rFonts w:asciiTheme="majorHAnsi" w:hAnsiTheme="majorHAnsi"/>
        </w:rPr>
        <w:footnoteReference w:id="3"/>
      </w:r>
      <w:r w:rsidRPr="00F436FB">
        <w:rPr>
          <w:rFonts w:asciiTheme="majorHAnsi" w:hAnsiTheme="majorHAnsi"/>
        </w:rPr>
        <w:t xml:space="preserve">, while helping to meet the increasing demand for health care services by the growing Medicare population, through the inclusion of audiologists in the list of Medicare-recognized </w:t>
      </w:r>
      <w:r w:rsidR="00196532">
        <w:rPr>
          <w:rFonts w:asciiTheme="majorHAnsi" w:hAnsiTheme="majorHAnsi"/>
        </w:rPr>
        <w:t xml:space="preserve">practitioners. </w:t>
      </w:r>
    </w:p>
    <w:p w14:paraId="2BBE9AD4" w14:textId="40F7A31A" w:rsidR="00622200" w:rsidRPr="00F436FB" w:rsidRDefault="00622200" w:rsidP="007F4EF2">
      <w:pPr>
        <w:spacing w:line="276" w:lineRule="auto"/>
        <w:jc w:val="both"/>
        <w:rPr>
          <w:rFonts w:asciiTheme="majorHAnsi" w:hAnsiTheme="majorHAnsi"/>
        </w:rPr>
      </w:pPr>
      <w:r w:rsidRPr="00F436FB">
        <w:rPr>
          <w:rFonts w:asciiTheme="majorHAnsi" w:hAnsiTheme="majorHAnsi"/>
        </w:rPr>
        <w:t xml:space="preserve">The introduction of </w:t>
      </w:r>
      <w:r w:rsidR="001C4D0E" w:rsidRPr="00F436FB">
        <w:rPr>
          <w:rFonts w:asciiTheme="majorHAnsi" w:hAnsiTheme="majorHAnsi"/>
        </w:rPr>
        <w:t>The</w:t>
      </w:r>
      <w:r w:rsidR="001C4D0E">
        <w:rPr>
          <w:rFonts w:asciiTheme="majorHAnsi" w:hAnsiTheme="majorHAnsi"/>
        </w:rPr>
        <w:t xml:space="preserve"> Medicare Audiologist Access and Services Act</w:t>
      </w:r>
      <w:r w:rsidR="001C4D0E" w:rsidRPr="00F436FB">
        <w:rPr>
          <w:rFonts w:asciiTheme="majorHAnsi" w:hAnsiTheme="majorHAnsi"/>
        </w:rPr>
        <w:t xml:space="preserve"> </w:t>
      </w:r>
      <w:r w:rsidR="006D56D1">
        <w:rPr>
          <w:rFonts w:asciiTheme="majorHAnsi" w:hAnsiTheme="majorHAnsi"/>
        </w:rPr>
        <w:t xml:space="preserve">of 2021 </w:t>
      </w:r>
      <w:r w:rsidRPr="00F436FB">
        <w:rPr>
          <w:rFonts w:asciiTheme="majorHAnsi" w:hAnsiTheme="majorHAnsi"/>
        </w:rPr>
        <w:t xml:space="preserve">provides a historic opportunity for Congress to improve access to safe, effective hearing and balance health care services for Medicare beneficiaries, while adding efficiencies that will streamline the continuum of care. This legislation will have lasting benefits for Medicare patients and American taxpayers alike. </w:t>
      </w:r>
      <w:r w:rsidR="00F436FB" w:rsidRPr="00F436FB">
        <w:rPr>
          <w:rFonts w:asciiTheme="majorHAnsi" w:hAnsiTheme="majorHAnsi"/>
          <w:highlight w:val="yellow"/>
        </w:rPr>
        <w:t>INSERT NAME AND DESCRIPTION OF ORGANIZATION</w:t>
      </w:r>
      <w:r w:rsidR="00F436FB" w:rsidRPr="00F436FB">
        <w:rPr>
          <w:rFonts w:asciiTheme="majorHAnsi" w:hAnsiTheme="majorHAnsi"/>
        </w:rPr>
        <w:t xml:space="preserve"> </w:t>
      </w:r>
      <w:r w:rsidRPr="00F436FB">
        <w:rPr>
          <w:rFonts w:asciiTheme="majorHAnsi" w:hAnsiTheme="majorHAnsi"/>
        </w:rPr>
        <w:t>is proud to endorse</w:t>
      </w:r>
      <w:r w:rsidR="00E81271">
        <w:rPr>
          <w:rFonts w:asciiTheme="majorHAnsi" w:hAnsiTheme="majorHAnsi"/>
        </w:rPr>
        <w:t xml:space="preserve"> </w:t>
      </w:r>
      <w:r w:rsidR="00BD2E56">
        <w:rPr>
          <w:rFonts w:asciiTheme="majorHAnsi" w:hAnsiTheme="majorHAnsi"/>
        </w:rPr>
        <w:t>H.R. 1587 / S.1731</w:t>
      </w:r>
      <w:r w:rsidR="00E81271">
        <w:rPr>
          <w:rFonts w:asciiTheme="majorHAnsi" w:hAnsiTheme="majorHAnsi"/>
        </w:rPr>
        <w:t xml:space="preserve">, </w:t>
      </w:r>
      <w:r w:rsidR="001C4D0E" w:rsidRPr="00F436FB">
        <w:rPr>
          <w:rFonts w:asciiTheme="majorHAnsi" w:hAnsiTheme="majorHAnsi"/>
        </w:rPr>
        <w:t>The</w:t>
      </w:r>
      <w:r w:rsidR="001C4D0E">
        <w:rPr>
          <w:rFonts w:asciiTheme="majorHAnsi" w:hAnsiTheme="majorHAnsi"/>
        </w:rPr>
        <w:t xml:space="preserve"> Medicare Audiologist Access and Services Act</w:t>
      </w:r>
      <w:r w:rsidRPr="00F436FB">
        <w:rPr>
          <w:rFonts w:asciiTheme="majorHAnsi" w:hAnsiTheme="majorHAnsi"/>
        </w:rPr>
        <w:t>.</w:t>
      </w:r>
    </w:p>
    <w:p w14:paraId="4A4672A9" w14:textId="77777777" w:rsidR="00622200" w:rsidRPr="00F436FB" w:rsidRDefault="00622200" w:rsidP="00F436FB">
      <w:pPr>
        <w:spacing w:line="276" w:lineRule="auto"/>
        <w:jc w:val="both"/>
        <w:rPr>
          <w:rFonts w:asciiTheme="majorHAnsi" w:hAnsiTheme="majorHAnsi"/>
        </w:rPr>
      </w:pPr>
      <w:r w:rsidRPr="00F436FB">
        <w:rPr>
          <w:rFonts w:asciiTheme="majorHAnsi" w:hAnsiTheme="majorHAnsi"/>
        </w:rPr>
        <w:t>Respectfully,</w:t>
      </w:r>
    </w:p>
    <w:p w14:paraId="0BA9875A" w14:textId="77777777" w:rsidR="00622200" w:rsidRPr="00F436FB" w:rsidRDefault="00622200" w:rsidP="00F436FB">
      <w:pPr>
        <w:spacing w:line="276" w:lineRule="auto"/>
        <w:jc w:val="both"/>
        <w:rPr>
          <w:rFonts w:asciiTheme="majorHAnsi" w:hAnsiTheme="majorHAnsi"/>
        </w:rPr>
      </w:pPr>
    </w:p>
    <w:p w14:paraId="01BA45E4" w14:textId="4D0629A7" w:rsidR="00622200" w:rsidRPr="00F436FB" w:rsidRDefault="00622200" w:rsidP="00F436FB">
      <w:pPr>
        <w:spacing w:line="276" w:lineRule="auto"/>
        <w:jc w:val="both"/>
        <w:rPr>
          <w:rFonts w:asciiTheme="majorHAnsi" w:hAnsiTheme="majorHAnsi"/>
        </w:rPr>
      </w:pPr>
      <w:r w:rsidRPr="00F436FB">
        <w:rPr>
          <w:rFonts w:asciiTheme="majorHAnsi" w:hAnsiTheme="majorHAnsi"/>
          <w:highlight w:val="yellow"/>
        </w:rPr>
        <w:t xml:space="preserve">INSERT Names, titles and signatures of </w:t>
      </w:r>
      <w:r w:rsidR="00F436FB" w:rsidRPr="00F436FB">
        <w:rPr>
          <w:rFonts w:asciiTheme="majorHAnsi" w:hAnsiTheme="majorHAnsi"/>
          <w:highlight w:val="yellow"/>
        </w:rPr>
        <w:t>endorsing organization representatives</w:t>
      </w:r>
      <w:r w:rsidRPr="00F436FB">
        <w:rPr>
          <w:rFonts w:asciiTheme="majorHAnsi" w:hAnsiTheme="majorHAnsi"/>
          <w:highlight w:val="yellow"/>
        </w:rPr>
        <w:t>.</w:t>
      </w:r>
    </w:p>
    <w:p w14:paraId="6217E629" w14:textId="77777777" w:rsidR="00C41B25" w:rsidRDefault="00C41B25" w:rsidP="004B476E">
      <w:pPr>
        <w:spacing w:after="0"/>
        <w:ind w:left="-900"/>
        <w:rPr>
          <w:rFonts w:ascii="Arial" w:hAnsi="Arial" w:cs="Arial"/>
          <w:sz w:val="20"/>
          <w:szCs w:val="20"/>
        </w:rPr>
      </w:pPr>
    </w:p>
    <w:p w14:paraId="49E5A4CA" w14:textId="77777777" w:rsidR="00C41B25" w:rsidRDefault="00C41B25" w:rsidP="00C41B25">
      <w:pPr>
        <w:spacing w:after="0"/>
        <w:ind w:left="-180" w:firstLine="900"/>
        <w:rPr>
          <w:rFonts w:ascii="Arial" w:hAnsi="Arial" w:cs="Arial"/>
          <w:sz w:val="20"/>
          <w:szCs w:val="20"/>
        </w:rPr>
      </w:pPr>
    </w:p>
    <w:p w14:paraId="09EFA776" w14:textId="77777777" w:rsidR="00C41B25" w:rsidRDefault="00C41B25" w:rsidP="00C41B25">
      <w:pPr>
        <w:spacing w:after="0"/>
        <w:ind w:left="-180" w:firstLine="900"/>
        <w:rPr>
          <w:rFonts w:ascii="Arial" w:hAnsi="Arial" w:cs="Arial"/>
          <w:sz w:val="20"/>
          <w:szCs w:val="20"/>
        </w:rPr>
      </w:pPr>
    </w:p>
    <w:sectPr w:rsidR="00C41B25" w:rsidSect="00997588">
      <w:headerReference w:type="even" r:id="rId8"/>
      <w:footerReference w:type="default" r:id="rId9"/>
      <w:headerReference w:type="first" r:id="rId10"/>
      <w:pgSz w:w="12240" w:h="15840"/>
      <w:pgMar w:top="900" w:right="810" w:bottom="720" w:left="9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85D3" w14:textId="77777777" w:rsidR="002235DE" w:rsidRDefault="002235DE" w:rsidP="0075171B">
      <w:pPr>
        <w:spacing w:after="0"/>
      </w:pPr>
      <w:r>
        <w:separator/>
      </w:r>
    </w:p>
  </w:endnote>
  <w:endnote w:type="continuationSeparator" w:id="0">
    <w:p w14:paraId="02FC4CA0" w14:textId="77777777" w:rsidR="002235DE" w:rsidRDefault="002235DE" w:rsidP="00751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Vinne">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93B4" w14:textId="77777777" w:rsidR="0053267A" w:rsidRDefault="00997588" w:rsidP="00997588">
    <w:pPr>
      <w:pStyle w:val="Footer"/>
      <w:tabs>
        <w:tab w:val="clear" w:pos="4320"/>
        <w:tab w:val="clear" w:pos="8640"/>
        <w:tab w:val="left" w:pos="17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DB90" w14:textId="77777777" w:rsidR="002235DE" w:rsidRDefault="002235DE" w:rsidP="0075171B">
      <w:pPr>
        <w:spacing w:after="0"/>
      </w:pPr>
      <w:r>
        <w:separator/>
      </w:r>
    </w:p>
  </w:footnote>
  <w:footnote w:type="continuationSeparator" w:id="0">
    <w:p w14:paraId="267B93EF" w14:textId="77777777" w:rsidR="002235DE" w:rsidRDefault="002235DE" w:rsidP="0075171B">
      <w:pPr>
        <w:spacing w:after="0"/>
      </w:pPr>
      <w:r>
        <w:continuationSeparator/>
      </w:r>
    </w:p>
  </w:footnote>
  <w:footnote w:id="1">
    <w:p w14:paraId="1157885A" w14:textId="77777777" w:rsidR="00622200" w:rsidRPr="00DB28DF" w:rsidRDefault="00622200" w:rsidP="00622200">
      <w:pPr>
        <w:outlineLvl w:val="0"/>
        <w:rPr>
          <w:rStyle w:val="authornames"/>
          <w:sz w:val="16"/>
          <w:szCs w:val="16"/>
        </w:rPr>
      </w:pPr>
      <w:r w:rsidRPr="00DB28DF">
        <w:rPr>
          <w:rStyle w:val="FootnoteReference"/>
          <w:sz w:val="16"/>
          <w:szCs w:val="16"/>
        </w:rPr>
        <w:footnoteRef/>
      </w:r>
      <w:r w:rsidRPr="00DB28DF">
        <w:rPr>
          <w:sz w:val="16"/>
          <w:szCs w:val="16"/>
        </w:rPr>
        <w:t xml:space="preserve"> </w:t>
      </w:r>
      <w:hyperlink r:id="rId1" w:anchor="qundefined" w:tgtFrame="_blank" w:history="1">
        <w:r w:rsidRPr="00DB28DF">
          <w:rPr>
            <w:i/>
            <w:iCs/>
            <w:color w:val="0000FF"/>
            <w:sz w:val="16"/>
            <w:szCs w:val="16"/>
            <w:u w:val="single"/>
          </w:rPr>
          <w:t>Hearing Loss and Cognitive Decline in Older Adults</w:t>
        </w:r>
      </w:hyperlink>
      <w:r w:rsidRPr="00DB28DF">
        <w:rPr>
          <w:sz w:val="16"/>
          <w:szCs w:val="16"/>
        </w:rPr>
        <w:br/>
        <w:t>Frank R. Lin (Et al)</w:t>
      </w:r>
      <w:r w:rsidRPr="00DB28DF">
        <w:rPr>
          <w:i/>
          <w:iCs/>
          <w:sz w:val="16"/>
          <w:szCs w:val="16"/>
        </w:rPr>
        <w:t>JAMA Internal Medicine</w:t>
      </w:r>
      <w:r w:rsidRPr="00DB28DF">
        <w:rPr>
          <w:sz w:val="16"/>
          <w:szCs w:val="16"/>
        </w:rPr>
        <w:t xml:space="preserve"> Jan 21, 2013; doi:10.1001/jamainternmed.2013.1868.</w:t>
      </w:r>
      <w:r>
        <w:rPr>
          <w:sz w:val="16"/>
          <w:szCs w:val="16"/>
        </w:rPr>
        <w:t xml:space="preserve">, </w:t>
      </w:r>
      <w:r w:rsidRPr="00DB28DF">
        <w:rPr>
          <w:sz w:val="16"/>
          <w:szCs w:val="16"/>
        </w:rPr>
        <w:t xml:space="preserve">National Institute on Deafness and Other Communication Disorders: </w:t>
      </w:r>
      <w:hyperlink r:id="rId2" w:history="1">
        <w:r w:rsidRPr="00DB28DF">
          <w:rPr>
            <w:rStyle w:val="Hyperlink"/>
            <w:sz w:val="16"/>
            <w:szCs w:val="16"/>
          </w:rPr>
          <w:t>http://www.nidcd.nih.gov/health/statistics/Pages/quick.aspx</w:t>
        </w:r>
      </w:hyperlink>
      <w:r>
        <w:rPr>
          <w:rStyle w:val="Hyperlink"/>
          <w:sz w:val="16"/>
          <w:szCs w:val="16"/>
        </w:rPr>
        <w:t xml:space="preserve">, </w:t>
      </w:r>
      <w:r w:rsidRPr="00DB28DF">
        <w:rPr>
          <w:sz w:val="16"/>
          <w:szCs w:val="16"/>
        </w:rPr>
        <w:t>Accessed May 31, 2013</w:t>
      </w:r>
      <w:r>
        <w:rPr>
          <w:sz w:val="16"/>
          <w:szCs w:val="16"/>
        </w:rPr>
        <w:t xml:space="preserve">, </w:t>
      </w:r>
      <w:hyperlink r:id="rId3" w:history="1">
        <w:proofErr w:type="spellStart"/>
        <w:r w:rsidRPr="00DB28DF">
          <w:rPr>
            <w:rStyle w:val="Hyperlink"/>
            <w:rFonts w:eastAsia="Times New Roman" w:cs="Arial"/>
            <w:i/>
            <w:sz w:val="16"/>
            <w:szCs w:val="16"/>
          </w:rPr>
          <w:t>MarkeTrak</w:t>
        </w:r>
        <w:proofErr w:type="spellEnd"/>
        <w:r w:rsidRPr="00DB28DF">
          <w:rPr>
            <w:rStyle w:val="Hyperlink"/>
            <w:rFonts w:eastAsia="Times New Roman" w:cs="Arial"/>
            <w:i/>
            <w:sz w:val="16"/>
            <w:szCs w:val="16"/>
          </w:rPr>
          <w:t xml:space="preserve"> VIII: 25-Year Trends in the Hearing Health Market</w:t>
        </w:r>
      </w:hyperlink>
      <w:r>
        <w:rPr>
          <w:rStyle w:val="Hyperlink"/>
          <w:rFonts w:eastAsia="Times New Roman" w:cs="Arial"/>
          <w:i/>
          <w:sz w:val="16"/>
          <w:szCs w:val="16"/>
        </w:rPr>
        <w:t xml:space="preserve">, </w:t>
      </w:r>
      <w:r w:rsidRPr="00DB28DF">
        <w:rPr>
          <w:rFonts w:eastAsia="Times New Roman" w:cs="Arial"/>
          <w:sz w:val="16"/>
          <w:szCs w:val="16"/>
        </w:rPr>
        <w:t xml:space="preserve">Sergei </w:t>
      </w:r>
      <w:proofErr w:type="spellStart"/>
      <w:r w:rsidRPr="00DB28DF">
        <w:rPr>
          <w:rFonts w:eastAsia="Times New Roman" w:cs="Arial"/>
          <w:sz w:val="16"/>
          <w:szCs w:val="16"/>
        </w:rPr>
        <w:t>Kochkin</w:t>
      </w:r>
      <w:proofErr w:type="spellEnd"/>
      <w:r w:rsidRPr="00DB28DF">
        <w:rPr>
          <w:rFonts w:eastAsia="Times New Roman" w:cs="Arial"/>
          <w:sz w:val="16"/>
          <w:szCs w:val="16"/>
        </w:rPr>
        <w:t>, Ph.D., 2008</w:t>
      </w:r>
      <w:r>
        <w:rPr>
          <w:rFonts w:eastAsia="Times New Roman" w:cs="Arial"/>
          <w:sz w:val="16"/>
          <w:szCs w:val="16"/>
        </w:rPr>
        <w:t xml:space="preserve">, </w:t>
      </w:r>
      <w:hyperlink r:id="rId4" w:history="1">
        <w:r w:rsidRPr="00DB28DF">
          <w:rPr>
            <w:rStyle w:val="Hyperlink"/>
            <w:rFonts w:eastAsia="Times New Roman" w:cs="Times New Roman"/>
            <w:bCs/>
            <w:i/>
            <w:kern w:val="36"/>
            <w:sz w:val="16"/>
            <w:szCs w:val="16"/>
          </w:rPr>
          <w:t>Hearing Loss and Falls Among Older Adults in the United States</w:t>
        </w:r>
      </w:hyperlink>
      <w:r>
        <w:rPr>
          <w:rStyle w:val="Hyperlink"/>
          <w:rFonts w:eastAsia="Times New Roman" w:cs="Times New Roman"/>
          <w:bCs/>
          <w:i/>
          <w:kern w:val="36"/>
          <w:sz w:val="16"/>
          <w:szCs w:val="16"/>
        </w:rPr>
        <w:t xml:space="preserve">, </w:t>
      </w:r>
      <w:r w:rsidRPr="00DB28DF">
        <w:rPr>
          <w:rStyle w:val="authornames"/>
          <w:sz w:val="16"/>
          <w:szCs w:val="16"/>
        </w:rPr>
        <w:t xml:space="preserve">Frank R. Lin, MD, PhD; Luigi </w:t>
      </w:r>
      <w:proofErr w:type="spellStart"/>
      <w:r w:rsidRPr="00DB28DF">
        <w:rPr>
          <w:rStyle w:val="authornames"/>
          <w:sz w:val="16"/>
          <w:szCs w:val="16"/>
        </w:rPr>
        <w:t>Ferrucci</w:t>
      </w:r>
      <w:proofErr w:type="spellEnd"/>
      <w:r w:rsidRPr="00DB28DF">
        <w:rPr>
          <w:rStyle w:val="authornames"/>
          <w:sz w:val="16"/>
          <w:szCs w:val="16"/>
        </w:rPr>
        <w:t>, MD, PhD, 2012</w:t>
      </w:r>
    </w:p>
    <w:p w14:paraId="661696E5" w14:textId="77777777" w:rsidR="00622200" w:rsidRPr="00DB28DF" w:rsidRDefault="00622200" w:rsidP="00622200">
      <w:pPr>
        <w:rPr>
          <w:rFonts w:eastAsia="Times New Roman" w:cs="Arial"/>
          <w:sz w:val="16"/>
          <w:szCs w:val="16"/>
        </w:rPr>
      </w:pPr>
    </w:p>
    <w:p w14:paraId="0BA7C3DC" w14:textId="77777777" w:rsidR="00622200" w:rsidRDefault="00622200" w:rsidP="00622200">
      <w:pPr>
        <w:pStyle w:val="FootnoteText"/>
      </w:pPr>
    </w:p>
  </w:footnote>
  <w:footnote w:id="2">
    <w:p w14:paraId="3E117B48" w14:textId="77777777" w:rsidR="00622200" w:rsidRPr="00DB28DF" w:rsidRDefault="00622200" w:rsidP="00622200">
      <w:pPr>
        <w:rPr>
          <w:sz w:val="16"/>
          <w:szCs w:val="16"/>
        </w:rPr>
      </w:pPr>
      <w:r>
        <w:rPr>
          <w:rStyle w:val="FootnoteReference"/>
        </w:rPr>
        <w:footnoteRef/>
      </w:r>
      <w:r>
        <w:t xml:space="preserve"> </w:t>
      </w:r>
      <w:hyperlink r:id="rId5" w:history="1">
        <w:r w:rsidRPr="00DB28DF">
          <w:rPr>
            <w:rStyle w:val="Hyperlink"/>
            <w:i/>
            <w:sz w:val="16"/>
            <w:szCs w:val="16"/>
          </w:rPr>
          <w:t>Safety of audiology direct access for Medicare patients complaining of impaired hearing</w:t>
        </w:r>
      </w:hyperlink>
      <w:r>
        <w:rPr>
          <w:rStyle w:val="Hyperlink"/>
          <w:i/>
          <w:sz w:val="16"/>
          <w:szCs w:val="16"/>
        </w:rPr>
        <w:t xml:space="preserve">, </w:t>
      </w:r>
      <w:r w:rsidRPr="00DB28DF">
        <w:rPr>
          <w:rFonts w:eastAsia="Times New Roman" w:cs="Times New Roman"/>
          <w:sz w:val="16"/>
          <w:szCs w:val="16"/>
        </w:rPr>
        <w:t>Journal of the American Academy of Audiology, /Volume 21, Number 6, 2010</w:t>
      </w:r>
      <w:r>
        <w:rPr>
          <w:rFonts w:eastAsia="Times New Roman" w:cs="Times New Roman"/>
          <w:sz w:val="16"/>
          <w:szCs w:val="16"/>
        </w:rPr>
        <w:t xml:space="preserve">, </w:t>
      </w:r>
      <w:r w:rsidRPr="00DB28DF">
        <w:rPr>
          <w:sz w:val="16"/>
          <w:szCs w:val="16"/>
        </w:rPr>
        <w:t xml:space="preserve">David </w:t>
      </w:r>
      <w:proofErr w:type="spellStart"/>
      <w:r w:rsidRPr="00DB28DF">
        <w:rPr>
          <w:sz w:val="16"/>
          <w:szCs w:val="16"/>
        </w:rPr>
        <w:t>Zapala</w:t>
      </w:r>
      <w:proofErr w:type="spellEnd"/>
      <w:r w:rsidRPr="00DB28DF">
        <w:rPr>
          <w:sz w:val="16"/>
          <w:szCs w:val="16"/>
        </w:rPr>
        <w:t xml:space="preserve"> et al</w:t>
      </w:r>
      <w:r>
        <w:rPr>
          <w:sz w:val="16"/>
          <w:szCs w:val="16"/>
        </w:rPr>
        <w:t xml:space="preserve">, </w:t>
      </w:r>
      <w:hyperlink r:id="rId6" w:history="1">
        <w:r w:rsidRPr="00DB28DF">
          <w:rPr>
            <w:rStyle w:val="Hyperlink"/>
            <w:i/>
            <w:sz w:val="16"/>
            <w:szCs w:val="16"/>
          </w:rPr>
          <w:t>Screening for vestibular disorders: A study of clinicians’ compliance with recommended practices</w:t>
        </w:r>
      </w:hyperlink>
      <w:r w:rsidRPr="00DB28DF">
        <w:rPr>
          <w:sz w:val="16"/>
          <w:szCs w:val="16"/>
        </w:rPr>
        <w:t xml:space="preserve"> Sharon </w:t>
      </w:r>
      <w:proofErr w:type="spellStart"/>
      <w:r w:rsidRPr="00DB28DF">
        <w:rPr>
          <w:sz w:val="16"/>
          <w:szCs w:val="16"/>
        </w:rPr>
        <w:t>Polensek</w:t>
      </w:r>
      <w:proofErr w:type="spellEnd"/>
      <w:r w:rsidRPr="00DB28DF">
        <w:rPr>
          <w:sz w:val="16"/>
          <w:szCs w:val="16"/>
        </w:rPr>
        <w:t>, Claire </w:t>
      </w:r>
      <w:proofErr w:type="spellStart"/>
      <w:r w:rsidRPr="00DB28DF">
        <w:rPr>
          <w:sz w:val="16"/>
          <w:szCs w:val="16"/>
        </w:rPr>
        <w:t>Sterk</w:t>
      </w:r>
      <w:proofErr w:type="spellEnd"/>
      <w:r w:rsidRPr="00DB28DF">
        <w:rPr>
          <w:sz w:val="16"/>
          <w:szCs w:val="16"/>
        </w:rPr>
        <w:t>, Ronald </w:t>
      </w:r>
      <w:proofErr w:type="spellStart"/>
      <w:r w:rsidRPr="00DB28DF">
        <w:rPr>
          <w:sz w:val="16"/>
          <w:szCs w:val="16"/>
        </w:rPr>
        <w:t>Tusa</w:t>
      </w:r>
      <w:proofErr w:type="spellEnd"/>
      <w:r w:rsidRPr="00DB28DF">
        <w:rPr>
          <w:sz w:val="16"/>
          <w:szCs w:val="16"/>
        </w:rPr>
        <w:t>, 2008</w:t>
      </w:r>
    </w:p>
    <w:p w14:paraId="3FB34103" w14:textId="77777777" w:rsidR="00622200" w:rsidRDefault="00622200" w:rsidP="00622200">
      <w:pPr>
        <w:pStyle w:val="FootnoteText"/>
      </w:pPr>
    </w:p>
  </w:footnote>
  <w:footnote w:id="3">
    <w:p w14:paraId="5AD1F158" w14:textId="77777777" w:rsidR="00622200" w:rsidRPr="00DB28DF" w:rsidRDefault="00622200" w:rsidP="00622200">
      <w:pPr>
        <w:rPr>
          <w:sz w:val="16"/>
          <w:szCs w:val="16"/>
        </w:rPr>
      </w:pPr>
      <w:r w:rsidRPr="00DB28DF">
        <w:rPr>
          <w:rStyle w:val="FootnoteReference"/>
          <w:sz w:val="16"/>
          <w:szCs w:val="16"/>
        </w:rPr>
        <w:footnoteRef/>
      </w:r>
      <w:r w:rsidRPr="00DB28DF">
        <w:rPr>
          <w:sz w:val="16"/>
          <w:szCs w:val="16"/>
        </w:rPr>
        <w:t xml:space="preserve"> </w:t>
      </w:r>
      <w:hyperlink r:id="rId7" w:history="1">
        <w:r w:rsidRPr="00DB28DF">
          <w:rPr>
            <w:rStyle w:val="Hyperlink"/>
            <w:rFonts w:eastAsia="Times New Roman" w:cs="Times New Roman"/>
            <w:i/>
            <w:sz w:val="16"/>
            <w:szCs w:val="16"/>
          </w:rPr>
          <w:t>Trends in the otolaryngology workforce in the U.S.</w:t>
        </w:r>
      </w:hyperlink>
      <w:r>
        <w:rPr>
          <w:rStyle w:val="Hyperlink"/>
          <w:rFonts w:eastAsia="Times New Roman" w:cs="Times New Roman"/>
          <w:i/>
          <w:sz w:val="16"/>
          <w:szCs w:val="16"/>
        </w:rPr>
        <w:t xml:space="preserve">, </w:t>
      </w:r>
      <w:r w:rsidRPr="00DB28DF">
        <w:rPr>
          <w:rFonts w:eastAsia="Times New Roman" w:cs="Times New Roman"/>
          <w:sz w:val="16"/>
          <w:szCs w:val="16"/>
        </w:rPr>
        <w:t xml:space="preserve">by Simon </w:t>
      </w:r>
      <w:proofErr w:type="spellStart"/>
      <w:r w:rsidRPr="00DB28DF">
        <w:rPr>
          <w:rFonts w:eastAsia="Times New Roman" w:cs="Times New Roman"/>
          <w:sz w:val="16"/>
          <w:szCs w:val="16"/>
        </w:rPr>
        <w:t>Neuwahl</w:t>
      </w:r>
      <w:proofErr w:type="spellEnd"/>
      <w:r>
        <w:rPr>
          <w:rFonts w:eastAsia="Times New Roman" w:cs="Times New Roman"/>
          <w:sz w:val="16"/>
          <w:szCs w:val="16"/>
        </w:rPr>
        <w:t xml:space="preserve"> (et al), </w:t>
      </w:r>
      <w:r w:rsidRPr="00DB28DF">
        <w:rPr>
          <w:sz w:val="16"/>
          <w:szCs w:val="16"/>
        </w:rPr>
        <w:t>Volume 97, Number 3, Bulletin of the American College of Surgeons</w:t>
      </w:r>
      <w:r>
        <w:rPr>
          <w:sz w:val="16"/>
          <w:szCs w:val="16"/>
        </w:rPr>
        <w:t xml:space="preserve">, </w:t>
      </w:r>
      <w:r w:rsidRPr="00DB28DF">
        <w:rPr>
          <w:rFonts w:eastAsia="Times New Roman" w:cs="Arial"/>
          <w:sz w:val="16"/>
          <w:szCs w:val="16"/>
        </w:rPr>
        <w:t xml:space="preserve">Association of American Medical Colleges (AAMC) data: </w:t>
      </w:r>
      <w:hyperlink r:id="rId8" w:history="1">
        <w:r w:rsidRPr="00DB28DF">
          <w:rPr>
            <w:rStyle w:val="Hyperlink"/>
            <w:rFonts w:eastAsia="Times New Roman" w:cs="Arial"/>
            <w:sz w:val="16"/>
            <w:szCs w:val="16"/>
          </w:rPr>
          <w:t>https://www.aamc.org/download/150612/data/</w:t>
        </w:r>
      </w:hyperlink>
      <w:r>
        <w:rPr>
          <w:rStyle w:val="Hyperlink"/>
          <w:rFonts w:eastAsia="Times New Roman" w:cs="Arial"/>
          <w:sz w:val="16"/>
          <w:szCs w:val="16"/>
        </w:rPr>
        <w:t xml:space="preserve">, </w:t>
      </w:r>
      <w:r w:rsidRPr="00DB28DF">
        <w:rPr>
          <w:rFonts w:eastAsia="Times New Roman" w:cs="Arial"/>
          <w:sz w:val="16"/>
          <w:szCs w:val="16"/>
        </w:rPr>
        <w:t>Accessed May 30,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75CE" w14:textId="77777777" w:rsidR="009C7601" w:rsidRDefault="002235DE">
    <w:pPr>
      <w:pStyle w:val="Header"/>
    </w:pPr>
    <w:r>
      <w:rPr>
        <w:noProof/>
      </w:rPr>
      <w:pict w14:anchorId="69CD1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94750" o:spid="_x0000_s2049" type="#_x0000_t75" alt="ADA Letterhead"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ADA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95EF" w14:textId="47611C9B" w:rsidR="009C7601" w:rsidRDefault="00997588" w:rsidP="00997588">
    <w:pPr>
      <w:pStyle w:val="Header"/>
      <w:tabs>
        <w:tab w:val="clear" w:pos="4320"/>
        <w:tab w:val="clear" w:pos="8640"/>
        <w:tab w:val="left" w:pos="17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267"/>
    <w:multiLevelType w:val="hybridMultilevel"/>
    <w:tmpl w:val="3E966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47"/>
    <w:rsid w:val="000C7E2D"/>
    <w:rsid w:val="00196532"/>
    <w:rsid w:val="001C4D0E"/>
    <w:rsid w:val="002235DE"/>
    <w:rsid w:val="002C0A73"/>
    <w:rsid w:val="002E7AD3"/>
    <w:rsid w:val="00367778"/>
    <w:rsid w:val="003C572A"/>
    <w:rsid w:val="00413E20"/>
    <w:rsid w:val="0042725F"/>
    <w:rsid w:val="00443275"/>
    <w:rsid w:val="00486A72"/>
    <w:rsid w:val="004B476E"/>
    <w:rsid w:val="0053267A"/>
    <w:rsid w:val="005B4DDA"/>
    <w:rsid w:val="00622200"/>
    <w:rsid w:val="00657EE6"/>
    <w:rsid w:val="006953BA"/>
    <w:rsid w:val="006D56D1"/>
    <w:rsid w:val="0071122A"/>
    <w:rsid w:val="0073525B"/>
    <w:rsid w:val="00735948"/>
    <w:rsid w:val="0075171B"/>
    <w:rsid w:val="007F4EF2"/>
    <w:rsid w:val="00806A6A"/>
    <w:rsid w:val="00885912"/>
    <w:rsid w:val="008A4B6A"/>
    <w:rsid w:val="008D2124"/>
    <w:rsid w:val="00997588"/>
    <w:rsid w:val="009C7601"/>
    <w:rsid w:val="009E7B92"/>
    <w:rsid w:val="00A06C7E"/>
    <w:rsid w:val="00A520CC"/>
    <w:rsid w:val="00AB6B68"/>
    <w:rsid w:val="00BC5E30"/>
    <w:rsid w:val="00BD2E56"/>
    <w:rsid w:val="00C41B25"/>
    <w:rsid w:val="00CC79E3"/>
    <w:rsid w:val="00D71DAD"/>
    <w:rsid w:val="00DB6B0D"/>
    <w:rsid w:val="00DE13FE"/>
    <w:rsid w:val="00E5530E"/>
    <w:rsid w:val="00E81271"/>
    <w:rsid w:val="00EE3A45"/>
    <w:rsid w:val="00F35DFF"/>
    <w:rsid w:val="00F436FB"/>
    <w:rsid w:val="00F56E4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5E87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E47"/>
    <w:pPr>
      <w:tabs>
        <w:tab w:val="center" w:pos="4320"/>
        <w:tab w:val="right" w:pos="8640"/>
      </w:tabs>
      <w:spacing w:after="0"/>
    </w:pPr>
  </w:style>
  <w:style w:type="character" w:customStyle="1" w:styleId="HeaderChar">
    <w:name w:val="Header Char"/>
    <w:basedOn w:val="DefaultParagraphFont"/>
    <w:link w:val="Header"/>
    <w:uiPriority w:val="99"/>
    <w:rsid w:val="00F56E47"/>
  </w:style>
  <w:style w:type="paragraph" w:styleId="Footer">
    <w:name w:val="footer"/>
    <w:basedOn w:val="Normal"/>
    <w:link w:val="FooterChar"/>
    <w:uiPriority w:val="99"/>
    <w:unhideWhenUsed/>
    <w:rsid w:val="00F56E47"/>
    <w:pPr>
      <w:tabs>
        <w:tab w:val="center" w:pos="4320"/>
        <w:tab w:val="right" w:pos="8640"/>
      </w:tabs>
      <w:spacing w:after="0"/>
    </w:pPr>
  </w:style>
  <w:style w:type="character" w:customStyle="1" w:styleId="FooterChar">
    <w:name w:val="Footer Char"/>
    <w:basedOn w:val="DefaultParagraphFont"/>
    <w:link w:val="Footer"/>
    <w:uiPriority w:val="99"/>
    <w:rsid w:val="00F56E47"/>
  </w:style>
  <w:style w:type="character" w:customStyle="1" w:styleId="dataformtextbox1">
    <w:name w:val="dataformtextbox1"/>
    <w:basedOn w:val="DefaultParagraphFont"/>
    <w:rsid w:val="004B476E"/>
    <w:rPr>
      <w:rFonts w:ascii="Tahoma" w:hAnsi="Tahoma" w:cs="Tahoma" w:hint="default"/>
      <w:color w:val="000000"/>
      <w:sz w:val="16"/>
      <w:szCs w:val="16"/>
    </w:rPr>
  </w:style>
  <w:style w:type="paragraph" w:styleId="BalloonText">
    <w:name w:val="Balloon Text"/>
    <w:basedOn w:val="Normal"/>
    <w:link w:val="BalloonTextChar"/>
    <w:uiPriority w:val="99"/>
    <w:semiHidden/>
    <w:unhideWhenUsed/>
    <w:rsid w:val="00F35D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DFF"/>
    <w:rPr>
      <w:rFonts w:ascii="Tahoma" w:hAnsi="Tahoma" w:cs="Tahoma"/>
      <w:sz w:val="16"/>
      <w:szCs w:val="16"/>
    </w:rPr>
  </w:style>
  <w:style w:type="character" w:styleId="CommentReference">
    <w:name w:val="annotation reference"/>
    <w:basedOn w:val="DefaultParagraphFont"/>
    <w:uiPriority w:val="99"/>
    <w:semiHidden/>
    <w:unhideWhenUsed/>
    <w:rsid w:val="00622200"/>
    <w:rPr>
      <w:sz w:val="16"/>
      <w:szCs w:val="16"/>
    </w:rPr>
  </w:style>
  <w:style w:type="paragraph" w:styleId="CommentText">
    <w:name w:val="annotation text"/>
    <w:basedOn w:val="Normal"/>
    <w:link w:val="CommentTextChar"/>
    <w:uiPriority w:val="99"/>
    <w:semiHidden/>
    <w:unhideWhenUsed/>
    <w:rsid w:val="00622200"/>
    <w:pPr>
      <w:spacing w:after="160"/>
    </w:pPr>
    <w:rPr>
      <w:sz w:val="20"/>
      <w:szCs w:val="20"/>
    </w:rPr>
  </w:style>
  <w:style w:type="character" w:customStyle="1" w:styleId="CommentTextChar">
    <w:name w:val="Comment Text Char"/>
    <w:basedOn w:val="DefaultParagraphFont"/>
    <w:link w:val="CommentText"/>
    <w:uiPriority w:val="99"/>
    <w:semiHidden/>
    <w:rsid w:val="00622200"/>
    <w:rPr>
      <w:sz w:val="20"/>
      <w:szCs w:val="20"/>
    </w:rPr>
  </w:style>
  <w:style w:type="paragraph" w:styleId="FootnoteText">
    <w:name w:val="footnote text"/>
    <w:basedOn w:val="Normal"/>
    <w:link w:val="FootnoteTextChar"/>
    <w:uiPriority w:val="99"/>
    <w:semiHidden/>
    <w:unhideWhenUsed/>
    <w:rsid w:val="00622200"/>
    <w:pPr>
      <w:spacing w:after="0"/>
    </w:pPr>
    <w:rPr>
      <w:sz w:val="20"/>
      <w:szCs w:val="20"/>
    </w:rPr>
  </w:style>
  <w:style w:type="character" w:customStyle="1" w:styleId="FootnoteTextChar">
    <w:name w:val="Footnote Text Char"/>
    <w:basedOn w:val="DefaultParagraphFont"/>
    <w:link w:val="FootnoteText"/>
    <w:uiPriority w:val="99"/>
    <w:semiHidden/>
    <w:rsid w:val="00622200"/>
    <w:rPr>
      <w:sz w:val="20"/>
      <w:szCs w:val="20"/>
    </w:rPr>
  </w:style>
  <w:style w:type="character" w:styleId="FootnoteReference">
    <w:name w:val="footnote reference"/>
    <w:basedOn w:val="DefaultParagraphFont"/>
    <w:uiPriority w:val="99"/>
    <w:semiHidden/>
    <w:unhideWhenUsed/>
    <w:rsid w:val="00622200"/>
    <w:rPr>
      <w:vertAlign w:val="superscript"/>
    </w:rPr>
  </w:style>
  <w:style w:type="character" w:styleId="Hyperlink">
    <w:name w:val="Hyperlink"/>
    <w:basedOn w:val="DefaultParagraphFont"/>
    <w:uiPriority w:val="99"/>
    <w:unhideWhenUsed/>
    <w:rsid w:val="00622200"/>
    <w:rPr>
      <w:color w:val="0000FF" w:themeColor="hyperlink"/>
      <w:u w:val="single"/>
    </w:rPr>
  </w:style>
  <w:style w:type="character" w:customStyle="1" w:styleId="authornames">
    <w:name w:val="authornames"/>
    <w:basedOn w:val="DefaultParagraphFont"/>
    <w:rsid w:val="00622200"/>
  </w:style>
  <w:style w:type="paragraph" w:styleId="CommentSubject">
    <w:name w:val="annotation subject"/>
    <w:basedOn w:val="CommentText"/>
    <w:next w:val="CommentText"/>
    <w:link w:val="CommentSubjectChar"/>
    <w:uiPriority w:val="99"/>
    <w:semiHidden/>
    <w:unhideWhenUsed/>
    <w:rsid w:val="00622200"/>
    <w:pPr>
      <w:spacing w:after="200"/>
    </w:pPr>
    <w:rPr>
      <w:b/>
      <w:bCs/>
    </w:rPr>
  </w:style>
  <w:style w:type="character" w:customStyle="1" w:styleId="CommentSubjectChar">
    <w:name w:val="Comment Subject Char"/>
    <w:basedOn w:val="CommentTextChar"/>
    <w:link w:val="CommentSubject"/>
    <w:uiPriority w:val="99"/>
    <w:semiHidden/>
    <w:rsid w:val="006222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amc.org/download/150612/data/" TargetMode="External"/><Relationship Id="rId3" Type="http://schemas.openxmlformats.org/officeDocument/2006/relationships/hyperlink" Target="http://www.betterhearing.org/pdfs/Kochkin_MarkeTrak8_OctHR09_hr.pdf" TargetMode="External"/><Relationship Id="rId7" Type="http://schemas.openxmlformats.org/officeDocument/2006/relationships/hyperlink" Target="http://www.facs.org/fellows_info/bulletin/2012/hpri0312.pdf" TargetMode="External"/><Relationship Id="rId2" Type="http://schemas.openxmlformats.org/officeDocument/2006/relationships/hyperlink" Target="http://www.nidcd.nih.gov/health/statistics/Pages/quick.aspx" TargetMode="External"/><Relationship Id="rId1" Type="http://schemas.openxmlformats.org/officeDocument/2006/relationships/hyperlink" Target="http://archinte.jamanetwork.com/article.aspx?articleid=1558452" TargetMode="External"/><Relationship Id="rId6" Type="http://schemas.openxmlformats.org/officeDocument/2006/relationships/hyperlink" Target="http://www.medscimonit.com/download/index/idArt/855748" TargetMode="External"/><Relationship Id="rId5" Type="http://schemas.openxmlformats.org/officeDocument/2006/relationships/hyperlink" Target="http://www.audiology.org/advocacy/federal/congressionalissues/Documents/SafetyofAudiologyDirAcc.pdf" TargetMode="External"/><Relationship Id="rId4" Type="http://schemas.openxmlformats.org/officeDocument/2006/relationships/hyperlink" Target="http://archinte.jamanetwork.com/article.aspx?articleid=1108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1979-5595-42D9-BA1B-222450D0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Technology by Design</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Walls</dc:creator>
  <cp:lastModifiedBy>Chris Walls</cp:lastModifiedBy>
  <cp:revision>2</cp:revision>
  <dcterms:created xsi:type="dcterms:W3CDTF">2021-06-08T13:10:00Z</dcterms:created>
  <dcterms:modified xsi:type="dcterms:W3CDTF">2021-06-08T13:10:00Z</dcterms:modified>
</cp:coreProperties>
</file>